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C0" w:rsidRDefault="004A65A9">
      <w:pPr>
        <w:widowControl/>
        <w:adjustRightInd w:val="0"/>
        <w:snapToGrid w:val="0"/>
        <w:spacing w:line="360" w:lineRule="auto"/>
        <w:ind w:firstLine="482"/>
        <w:jc w:val="center"/>
        <w:rPr>
          <w:rFonts w:asciiTheme="minorEastAsia" w:hAnsiTheme="minorEastAsia" w:cs="宋体"/>
          <w:b/>
          <w:bCs/>
          <w:color w:val="333333"/>
          <w:kern w:val="0"/>
          <w:sz w:val="32"/>
          <w:szCs w:val="32"/>
        </w:rPr>
      </w:pPr>
      <w:r>
        <w:rPr>
          <w:rFonts w:asciiTheme="minorEastAsia" w:hAnsiTheme="minorEastAsia" w:cs="宋体" w:hint="eastAsia"/>
          <w:b/>
          <w:bCs/>
          <w:color w:val="333333"/>
          <w:kern w:val="0"/>
          <w:sz w:val="32"/>
          <w:szCs w:val="32"/>
        </w:rPr>
        <w:t>结构工程灾变与控制教育部重点实验室</w:t>
      </w:r>
    </w:p>
    <w:p w:rsidR="00FE0DC0" w:rsidRDefault="004A65A9">
      <w:pPr>
        <w:widowControl/>
        <w:adjustRightInd w:val="0"/>
        <w:snapToGrid w:val="0"/>
        <w:spacing w:line="360" w:lineRule="auto"/>
        <w:ind w:firstLine="482"/>
        <w:jc w:val="center"/>
        <w:rPr>
          <w:rFonts w:asciiTheme="minorEastAsia" w:hAnsiTheme="minorEastAsia" w:cs="宋体"/>
          <w:b/>
          <w:bCs/>
          <w:color w:val="333333"/>
          <w:kern w:val="0"/>
          <w:sz w:val="32"/>
          <w:szCs w:val="32"/>
        </w:rPr>
      </w:pPr>
      <w:bookmarkStart w:id="0" w:name="_GoBack"/>
      <w:bookmarkEnd w:id="0"/>
      <w:r>
        <w:rPr>
          <w:rFonts w:asciiTheme="minorEastAsia" w:hAnsiTheme="minorEastAsia" w:cs="宋体" w:hint="eastAsia"/>
          <w:b/>
          <w:bCs/>
          <w:color w:val="333333"/>
          <w:kern w:val="0"/>
          <w:sz w:val="32"/>
          <w:szCs w:val="32"/>
        </w:rPr>
        <w:t>开放基金申请指南</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根据教育部重点实验室建设与运行管理办法要求，结构工程灾变与控制教育部重点实验室发布2019年开放课题申请指南，现面向国内外开放，吸引和资助优秀学者来重点实验室开展有关方面的高水平研究，特将有关事项公告如下：</w:t>
      </w:r>
    </w:p>
    <w:p w:rsidR="00FE0DC0" w:rsidRDefault="004A65A9" w:rsidP="004A65A9">
      <w:pPr>
        <w:widowControl/>
        <w:adjustRightInd w:val="0"/>
        <w:snapToGrid w:val="0"/>
        <w:spacing w:beforeLines="50" w:before="156" w:afterLines="50" w:after="156"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一、资助对象</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国内外高水平研究人员、博士后等均可在项目指南范围内申请课题。优先资助申请者与实验室固定研究人员合作的项目、国内外访问学者。</w:t>
      </w:r>
    </w:p>
    <w:p w:rsidR="00FE0DC0" w:rsidRDefault="004A65A9" w:rsidP="004A65A9">
      <w:pPr>
        <w:widowControl/>
        <w:adjustRightInd w:val="0"/>
        <w:snapToGrid w:val="0"/>
        <w:spacing w:beforeLines="50" w:before="156" w:afterLines="50" w:after="156"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二、资助范围</w:t>
      </w:r>
    </w:p>
    <w:p w:rsidR="00FE0DC0" w:rsidRDefault="004A65A9">
      <w:pPr>
        <w:widowControl/>
        <w:adjustRightInd w:val="0"/>
        <w:snapToGrid w:val="0"/>
        <w:spacing w:line="440" w:lineRule="exact"/>
        <w:ind w:firstLine="420"/>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 xml:space="preserve">  （一）高性能工程结构</w:t>
      </w:r>
    </w:p>
    <w:p w:rsidR="00FE0DC0" w:rsidRDefault="004A65A9">
      <w:pPr>
        <w:widowControl/>
        <w:numPr>
          <w:ilvl w:val="0"/>
          <w:numId w:val="1"/>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高性能金属结构</w:t>
      </w:r>
    </w:p>
    <w:p w:rsidR="00FE0DC0" w:rsidRDefault="004A65A9">
      <w:pPr>
        <w:widowControl/>
        <w:numPr>
          <w:ilvl w:val="0"/>
          <w:numId w:val="1"/>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新型组合结构</w:t>
      </w:r>
    </w:p>
    <w:p w:rsidR="00FE0DC0" w:rsidRDefault="004A65A9">
      <w:pPr>
        <w:widowControl/>
        <w:numPr>
          <w:ilvl w:val="0"/>
          <w:numId w:val="1"/>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现代混凝土结构与砌体结构</w:t>
      </w:r>
    </w:p>
    <w:p w:rsidR="00FE0DC0" w:rsidRDefault="004A65A9">
      <w:pPr>
        <w:widowControl/>
        <w:numPr>
          <w:ilvl w:val="0"/>
          <w:numId w:val="2"/>
        </w:numPr>
        <w:adjustRightInd w:val="0"/>
        <w:snapToGrid w:val="0"/>
        <w:spacing w:line="440" w:lineRule="exact"/>
        <w:ind w:left="700"/>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结构灾变作用与行为</w:t>
      </w:r>
    </w:p>
    <w:p w:rsidR="00FE0DC0" w:rsidRDefault="004A65A9">
      <w:pPr>
        <w:widowControl/>
        <w:numPr>
          <w:ilvl w:val="0"/>
          <w:numId w:val="3"/>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空间地震动场、地震作用与结构抗震性能</w:t>
      </w:r>
    </w:p>
    <w:p w:rsidR="00FE0DC0" w:rsidRDefault="004A65A9">
      <w:pPr>
        <w:widowControl/>
        <w:numPr>
          <w:ilvl w:val="0"/>
          <w:numId w:val="3"/>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台（强）风灾害场、风荷载与结构抗风性能</w:t>
      </w:r>
    </w:p>
    <w:p w:rsidR="00FE0DC0" w:rsidRDefault="004A65A9">
      <w:pPr>
        <w:widowControl/>
        <w:numPr>
          <w:ilvl w:val="0"/>
          <w:numId w:val="3"/>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火灾温度场作用与结构抗火性能</w:t>
      </w:r>
    </w:p>
    <w:p w:rsidR="00FE0DC0" w:rsidRDefault="004A65A9">
      <w:pPr>
        <w:widowControl/>
        <w:numPr>
          <w:ilvl w:val="0"/>
          <w:numId w:val="3"/>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爆炸荷载场、爆炸作用与结构抗爆性能</w:t>
      </w:r>
    </w:p>
    <w:p w:rsidR="00FE0DC0" w:rsidRDefault="004A65A9">
      <w:pPr>
        <w:widowControl/>
        <w:adjustRightInd w:val="0"/>
        <w:snapToGrid w:val="0"/>
        <w:spacing w:line="440" w:lineRule="exact"/>
        <w:ind w:firstLine="420"/>
        <w:jc w:val="left"/>
        <w:rPr>
          <w:rFonts w:asciiTheme="minorEastAsia" w:hAnsiTheme="minorEastAsia" w:cs="宋体"/>
          <w:b/>
          <w:color w:val="333333"/>
          <w:kern w:val="0"/>
          <w:sz w:val="28"/>
          <w:szCs w:val="28"/>
        </w:rPr>
      </w:pPr>
      <w:r>
        <w:rPr>
          <w:rFonts w:asciiTheme="minorEastAsia" w:hAnsiTheme="minorEastAsia" w:cs="宋体" w:hint="eastAsia"/>
          <w:color w:val="333333"/>
          <w:kern w:val="0"/>
          <w:sz w:val="28"/>
          <w:szCs w:val="28"/>
        </w:rPr>
        <w:t xml:space="preserve">  </w:t>
      </w:r>
      <w:r>
        <w:rPr>
          <w:rFonts w:asciiTheme="minorEastAsia" w:hAnsiTheme="minorEastAsia" w:cs="宋体" w:hint="eastAsia"/>
          <w:b/>
          <w:color w:val="333333"/>
          <w:kern w:val="0"/>
          <w:sz w:val="28"/>
          <w:szCs w:val="28"/>
        </w:rPr>
        <w:t>（三）结构监测与控制</w:t>
      </w:r>
    </w:p>
    <w:p w:rsidR="00FE0DC0" w:rsidRDefault="004A65A9">
      <w:pPr>
        <w:widowControl/>
        <w:numPr>
          <w:ilvl w:val="0"/>
          <w:numId w:val="4"/>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重大工程健康监测</w:t>
      </w:r>
    </w:p>
    <w:p w:rsidR="00FE0DC0" w:rsidRDefault="004A65A9">
      <w:pPr>
        <w:widowControl/>
        <w:numPr>
          <w:ilvl w:val="0"/>
          <w:numId w:val="4"/>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结构振动控制</w:t>
      </w:r>
    </w:p>
    <w:p w:rsidR="00FE0DC0" w:rsidRDefault="004A65A9">
      <w:pPr>
        <w:widowControl/>
        <w:numPr>
          <w:ilvl w:val="0"/>
          <w:numId w:val="4"/>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数字减灾技术</w:t>
      </w:r>
    </w:p>
    <w:p w:rsidR="00FE0DC0" w:rsidRDefault="004A65A9">
      <w:pPr>
        <w:widowControl/>
        <w:numPr>
          <w:ilvl w:val="0"/>
          <w:numId w:val="4"/>
        </w:numPr>
        <w:adjustRightInd w:val="0"/>
        <w:snapToGrid w:val="0"/>
        <w:spacing w:line="440" w:lineRule="exact"/>
        <w:ind w:left="1685"/>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现代结构试验方法</w:t>
      </w:r>
    </w:p>
    <w:p w:rsidR="00CA304C" w:rsidRPr="00CA304C" w:rsidRDefault="00CA304C" w:rsidP="00CA304C">
      <w:pPr>
        <w:pStyle w:val="ab"/>
        <w:widowControl/>
        <w:adjustRightInd w:val="0"/>
        <w:snapToGrid w:val="0"/>
        <w:spacing w:line="440" w:lineRule="exact"/>
        <w:ind w:left="425" w:firstLineChars="0" w:firstLine="0"/>
        <w:jc w:val="left"/>
        <w:rPr>
          <w:rFonts w:asciiTheme="minorEastAsia" w:hAnsiTheme="minorEastAsia" w:cs="宋体"/>
          <w:b/>
          <w:color w:val="333333"/>
          <w:kern w:val="0"/>
          <w:sz w:val="28"/>
          <w:szCs w:val="28"/>
        </w:rPr>
      </w:pPr>
      <w:r w:rsidRPr="00CA304C">
        <w:rPr>
          <w:rFonts w:asciiTheme="minorEastAsia" w:hAnsiTheme="minorEastAsia" w:cs="宋体" w:hint="eastAsia"/>
          <w:color w:val="333333"/>
          <w:kern w:val="0"/>
          <w:sz w:val="28"/>
          <w:szCs w:val="28"/>
        </w:rPr>
        <w:t xml:space="preserve">  </w:t>
      </w:r>
      <w:r w:rsidRPr="00CA304C">
        <w:rPr>
          <w:rFonts w:asciiTheme="minorEastAsia" w:hAnsiTheme="minorEastAsia" w:cs="宋体" w:hint="eastAsia"/>
          <w:b/>
          <w:color w:val="333333"/>
          <w:kern w:val="0"/>
          <w:sz w:val="28"/>
          <w:szCs w:val="28"/>
        </w:rPr>
        <w:t>（</w:t>
      </w:r>
      <w:r>
        <w:rPr>
          <w:rFonts w:asciiTheme="minorEastAsia" w:hAnsiTheme="minorEastAsia" w:cs="宋体" w:hint="eastAsia"/>
          <w:b/>
          <w:color w:val="333333"/>
          <w:kern w:val="0"/>
          <w:sz w:val="28"/>
          <w:szCs w:val="28"/>
        </w:rPr>
        <w:t>四</w:t>
      </w:r>
      <w:r w:rsidRPr="00CA304C">
        <w:rPr>
          <w:rFonts w:asciiTheme="minorEastAsia" w:hAnsiTheme="minorEastAsia" w:cs="宋体" w:hint="eastAsia"/>
          <w:b/>
          <w:color w:val="333333"/>
          <w:kern w:val="0"/>
          <w:sz w:val="28"/>
          <w:szCs w:val="28"/>
        </w:rPr>
        <w:t>）</w:t>
      </w:r>
      <w:r>
        <w:rPr>
          <w:rFonts w:asciiTheme="minorEastAsia" w:hAnsiTheme="minorEastAsia" w:cs="宋体" w:hint="eastAsia"/>
          <w:b/>
          <w:color w:val="333333"/>
          <w:kern w:val="0"/>
          <w:sz w:val="28"/>
          <w:szCs w:val="28"/>
        </w:rPr>
        <w:t>相关新兴交叉方向</w:t>
      </w:r>
    </w:p>
    <w:p w:rsidR="00FE0DC0" w:rsidRDefault="004A65A9" w:rsidP="004A65A9">
      <w:pPr>
        <w:widowControl/>
        <w:adjustRightInd w:val="0"/>
        <w:snapToGrid w:val="0"/>
        <w:spacing w:beforeLines="50" w:before="156" w:afterLines="50" w:after="156"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三、申请要求及程序</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申请者应为从事结构工程及其相关领域研究，具备博士学位或中级及以上技术职称的一线科研人员及在站博士后。不具有高级专业技术职称的申请者，必须由本专业两名有高级职称的同行专家推荐。校外申请者优先资助。</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2、申请人须根据实验室开放课题资助范围申请基金，填写“结构工程灾变与控制教育部重点实验室”开放课题申请书，申请者所在单位分管领导在申请书上签字并加盖单位公章，《申请书》一份，报送重点实验室。同时通过电子邮件提交word或pdf版本申请书。</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3.实验室组织对开放课题进行初审，对于不符合申请条件的基金申请书不予报送学术委员会。</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4、实验室学术委员会以会议或书面通讯评议方式对基金申请项目进行评审，根据择优资助的原则，批准资助课题及资助额度，并通知获得资助的申请人。</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5、开放课题研究期限为</w:t>
      </w:r>
      <w:r w:rsidRPr="00CA304C">
        <w:rPr>
          <w:rFonts w:asciiTheme="minorEastAsia" w:hAnsiTheme="minorEastAsia" w:cs="宋体" w:hint="eastAsia"/>
          <w:color w:val="333333"/>
          <w:kern w:val="0"/>
          <w:sz w:val="28"/>
          <w:szCs w:val="28"/>
        </w:rPr>
        <w:t>2</w:t>
      </w:r>
      <w:r>
        <w:rPr>
          <w:rFonts w:asciiTheme="minorEastAsia" w:hAnsiTheme="minorEastAsia" w:cs="宋体" w:hint="eastAsia"/>
          <w:color w:val="333333"/>
          <w:kern w:val="0"/>
          <w:sz w:val="28"/>
          <w:szCs w:val="28"/>
        </w:rPr>
        <w:t>年，起止时间为2019年</w:t>
      </w:r>
      <w:r w:rsidR="00CA304C">
        <w:rPr>
          <w:rFonts w:asciiTheme="minorEastAsia" w:hAnsiTheme="minorEastAsia" w:cs="宋体" w:hint="eastAsia"/>
          <w:color w:val="333333"/>
          <w:kern w:val="0"/>
          <w:sz w:val="28"/>
          <w:szCs w:val="28"/>
        </w:rPr>
        <w:t>10</w:t>
      </w:r>
      <w:r>
        <w:rPr>
          <w:rFonts w:asciiTheme="minorEastAsia" w:hAnsiTheme="minorEastAsia" w:cs="宋体" w:hint="eastAsia"/>
          <w:color w:val="333333"/>
          <w:kern w:val="0"/>
          <w:sz w:val="28"/>
          <w:szCs w:val="28"/>
        </w:rPr>
        <w:t>月至</w:t>
      </w:r>
      <w:r w:rsidRPr="00CA304C">
        <w:rPr>
          <w:rFonts w:asciiTheme="minorEastAsia" w:hAnsiTheme="minorEastAsia" w:cs="宋体" w:hint="eastAsia"/>
          <w:color w:val="333333"/>
          <w:kern w:val="0"/>
          <w:sz w:val="28"/>
          <w:szCs w:val="28"/>
        </w:rPr>
        <w:t>20</w:t>
      </w:r>
      <w:r w:rsidR="00CA304C" w:rsidRPr="00CA304C">
        <w:rPr>
          <w:rFonts w:asciiTheme="minorEastAsia" w:hAnsiTheme="minorEastAsia" w:cs="宋体" w:hint="eastAsia"/>
          <w:color w:val="333333"/>
          <w:kern w:val="0"/>
          <w:sz w:val="28"/>
          <w:szCs w:val="28"/>
        </w:rPr>
        <w:t>21</w:t>
      </w:r>
      <w:r>
        <w:rPr>
          <w:rFonts w:asciiTheme="minorEastAsia" w:hAnsiTheme="minorEastAsia" w:cs="宋体" w:hint="eastAsia"/>
          <w:color w:val="333333"/>
          <w:kern w:val="0"/>
          <w:sz w:val="28"/>
          <w:szCs w:val="28"/>
        </w:rPr>
        <w:t>年</w:t>
      </w:r>
      <w:r w:rsidR="00CA304C">
        <w:rPr>
          <w:rFonts w:asciiTheme="minorEastAsia" w:hAnsiTheme="minorEastAsia" w:cs="宋体" w:hint="eastAsia"/>
          <w:color w:val="333333"/>
          <w:kern w:val="0"/>
          <w:sz w:val="28"/>
          <w:szCs w:val="28"/>
        </w:rPr>
        <w:t>10</w:t>
      </w:r>
      <w:r>
        <w:rPr>
          <w:rFonts w:asciiTheme="minorEastAsia" w:hAnsiTheme="minorEastAsia" w:cs="宋体" w:hint="eastAsia"/>
          <w:color w:val="333333"/>
          <w:kern w:val="0"/>
          <w:sz w:val="28"/>
          <w:szCs w:val="28"/>
        </w:rPr>
        <w:t>月。每项开放课题资助经费约为5万元人民币。</w:t>
      </w:r>
    </w:p>
    <w:p w:rsidR="00FE0DC0" w:rsidRDefault="004A65A9" w:rsidP="004A65A9">
      <w:pPr>
        <w:widowControl/>
        <w:adjustRightInd w:val="0"/>
        <w:snapToGrid w:val="0"/>
        <w:spacing w:beforeLines="50" w:before="156" w:afterLines="50" w:after="156"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四、课题的开展</w:t>
      </w:r>
    </w:p>
    <w:p w:rsidR="00FE0DC0" w:rsidRDefault="004A65A9">
      <w:pPr>
        <w:widowControl/>
        <w:adjustRightInd w:val="0"/>
        <w:snapToGrid w:val="0"/>
        <w:spacing w:line="440" w:lineRule="exact"/>
        <w:ind w:firstLine="482"/>
        <w:jc w:val="left"/>
        <w:rPr>
          <w:rFonts w:asciiTheme="minorEastAsia" w:hAnsiTheme="minorEastAsia" w:cs="宋体"/>
          <w:bCs/>
          <w:color w:val="333333"/>
          <w:kern w:val="0"/>
          <w:sz w:val="28"/>
          <w:szCs w:val="28"/>
        </w:rPr>
      </w:pPr>
      <w:r>
        <w:rPr>
          <w:rFonts w:asciiTheme="minorEastAsia" w:hAnsiTheme="minorEastAsia" w:cs="宋体" w:hint="eastAsia"/>
          <w:bCs/>
          <w:color w:val="333333"/>
          <w:kern w:val="0"/>
          <w:sz w:val="28"/>
          <w:szCs w:val="28"/>
        </w:rPr>
        <w:t>对于时间为</w:t>
      </w:r>
      <w:r>
        <w:rPr>
          <w:rFonts w:asciiTheme="minorEastAsia" w:hAnsiTheme="minorEastAsia" w:cs="宋体"/>
          <w:bCs/>
          <w:color w:val="333333"/>
          <w:kern w:val="0"/>
          <w:sz w:val="28"/>
          <w:szCs w:val="28"/>
        </w:rPr>
        <w:t>2</w:t>
      </w:r>
      <w:r>
        <w:rPr>
          <w:rFonts w:asciiTheme="minorEastAsia" w:hAnsiTheme="minorEastAsia" w:cs="宋体" w:hint="eastAsia"/>
          <w:bCs/>
          <w:color w:val="333333"/>
          <w:kern w:val="0"/>
          <w:sz w:val="28"/>
          <w:szCs w:val="28"/>
        </w:rPr>
        <w:t>年的项目，课题负责人应在第一年度结束前递交《年度研究进展报告》。内容包括：</w:t>
      </w:r>
      <w:r>
        <w:rPr>
          <w:rFonts w:asciiTheme="minorEastAsia" w:hAnsiTheme="minorEastAsia" w:cs="宋体"/>
          <w:bCs/>
          <w:color w:val="333333"/>
          <w:kern w:val="0"/>
          <w:sz w:val="28"/>
          <w:szCs w:val="28"/>
        </w:rPr>
        <w:t>(1)</w:t>
      </w:r>
      <w:r>
        <w:rPr>
          <w:rFonts w:asciiTheme="minorEastAsia" w:hAnsiTheme="minorEastAsia" w:cs="宋体" w:hint="eastAsia"/>
          <w:bCs/>
          <w:color w:val="333333"/>
          <w:kern w:val="0"/>
          <w:sz w:val="28"/>
          <w:szCs w:val="28"/>
        </w:rPr>
        <w:t>年度进展情况</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简要介绍</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w:t>
      </w:r>
      <w:r>
        <w:rPr>
          <w:rFonts w:asciiTheme="minorEastAsia" w:hAnsiTheme="minorEastAsia" w:cs="宋体"/>
          <w:bCs/>
          <w:color w:val="333333"/>
          <w:kern w:val="0"/>
          <w:sz w:val="28"/>
          <w:szCs w:val="28"/>
        </w:rPr>
        <w:t>(2)</w:t>
      </w:r>
      <w:r>
        <w:rPr>
          <w:rFonts w:asciiTheme="minorEastAsia" w:hAnsiTheme="minorEastAsia" w:cs="宋体" w:hint="eastAsia"/>
          <w:bCs/>
          <w:color w:val="333333"/>
          <w:kern w:val="0"/>
          <w:sz w:val="28"/>
          <w:szCs w:val="28"/>
        </w:rPr>
        <w:t>成果和论著的书面材料</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电子附件</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w:t>
      </w:r>
      <w:r>
        <w:rPr>
          <w:rFonts w:asciiTheme="minorEastAsia" w:hAnsiTheme="minorEastAsia" w:cs="宋体"/>
          <w:bCs/>
          <w:color w:val="333333"/>
          <w:kern w:val="0"/>
          <w:sz w:val="28"/>
          <w:szCs w:val="28"/>
        </w:rPr>
        <w:t>(3)</w:t>
      </w:r>
      <w:r>
        <w:rPr>
          <w:rFonts w:asciiTheme="minorEastAsia" w:hAnsiTheme="minorEastAsia" w:cs="宋体" w:hint="eastAsia"/>
          <w:bCs/>
          <w:color w:val="333333"/>
          <w:kern w:val="0"/>
          <w:sz w:val="28"/>
          <w:szCs w:val="28"/>
        </w:rPr>
        <w:t>经费使用情况及下一年度研究计划</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简要介绍</w:t>
      </w:r>
      <w:r>
        <w:rPr>
          <w:rFonts w:asciiTheme="minorEastAsia" w:hAnsiTheme="minorEastAsia" w:cs="宋体"/>
          <w:bCs/>
          <w:color w:val="333333"/>
          <w:kern w:val="0"/>
          <w:sz w:val="28"/>
          <w:szCs w:val="28"/>
        </w:rPr>
        <w:t>)</w:t>
      </w:r>
      <w:r>
        <w:rPr>
          <w:rFonts w:asciiTheme="minorEastAsia" w:hAnsiTheme="minorEastAsia" w:cs="宋体" w:hint="eastAsia"/>
          <w:bCs/>
          <w:color w:val="333333"/>
          <w:kern w:val="0"/>
          <w:sz w:val="28"/>
          <w:szCs w:val="28"/>
        </w:rPr>
        <w:t>。对于无阶段总结、未按计划进行课题者，实验室主任有权调整课题资助额度或中止课题资助。</w:t>
      </w:r>
    </w:p>
    <w:p w:rsidR="00FE0DC0" w:rsidRDefault="004A65A9" w:rsidP="004A65A9">
      <w:pPr>
        <w:widowControl/>
        <w:adjustRightInd w:val="0"/>
        <w:snapToGrid w:val="0"/>
        <w:spacing w:beforeLines="50" w:before="156" w:afterLines="50" w:after="156"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五、课题验收</w:t>
      </w:r>
    </w:p>
    <w:p w:rsidR="00FE0DC0" w:rsidRDefault="004A65A9">
      <w:pPr>
        <w:widowControl/>
        <w:adjustRightInd w:val="0"/>
        <w:snapToGrid w:val="0"/>
        <w:spacing w:line="440" w:lineRule="exact"/>
        <w:ind w:firstLine="482"/>
        <w:jc w:val="left"/>
        <w:rPr>
          <w:rFonts w:asciiTheme="minorEastAsia" w:hAnsiTheme="minorEastAsia" w:cs="宋体"/>
          <w:bCs/>
          <w:color w:val="333333"/>
          <w:kern w:val="0"/>
          <w:sz w:val="28"/>
          <w:szCs w:val="28"/>
        </w:rPr>
      </w:pPr>
      <w:r>
        <w:rPr>
          <w:rFonts w:asciiTheme="minorEastAsia" w:hAnsiTheme="minorEastAsia" w:cs="宋体" w:hint="eastAsia"/>
          <w:bCs/>
          <w:color w:val="333333"/>
          <w:kern w:val="0"/>
          <w:sz w:val="28"/>
          <w:szCs w:val="28"/>
        </w:rPr>
        <w:t>1、开放课题在研究工作结束时，需向实验室递交《课题总结报告》并接受评审。《课题总结报告》内容包括：(1)研究工作总结(简述)；(2)附全部论文或其它成果的复印件；(3)课题后续发展与展望。</w:t>
      </w:r>
    </w:p>
    <w:p w:rsidR="00FE0DC0" w:rsidRDefault="004A65A9">
      <w:pPr>
        <w:widowControl/>
        <w:adjustRightInd w:val="0"/>
        <w:snapToGrid w:val="0"/>
        <w:spacing w:line="440" w:lineRule="exact"/>
        <w:ind w:firstLine="482"/>
        <w:jc w:val="left"/>
        <w:rPr>
          <w:rFonts w:asciiTheme="minorEastAsia" w:hAnsiTheme="minorEastAsia" w:cs="宋体"/>
          <w:bCs/>
          <w:color w:val="333333"/>
          <w:kern w:val="0"/>
          <w:sz w:val="28"/>
          <w:szCs w:val="28"/>
        </w:rPr>
      </w:pPr>
      <w:r>
        <w:rPr>
          <w:rFonts w:asciiTheme="minorEastAsia" w:hAnsiTheme="minorEastAsia" w:cs="宋体" w:hint="eastAsia"/>
          <w:bCs/>
          <w:color w:val="333333"/>
          <w:kern w:val="0"/>
          <w:sz w:val="28"/>
          <w:szCs w:val="28"/>
        </w:rPr>
        <w:t>2、实验室组织专家进行结题报告（年度报告）的评审，评审结果分为优、良、中、差四个等级。结题报告经验收合格、评审结果为良以上，可再申请新课题。对于完成情况为优者，后续申请优先资助</w:t>
      </w:r>
      <w:r w:rsidR="00CA304C">
        <w:rPr>
          <w:rFonts w:asciiTheme="minorEastAsia" w:hAnsiTheme="minorEastAsia" w:cs="宋体" w:hint="eastAsia"/>
          <w:bCs/>
          <w:color w:val="333333"/>
          <w:kern w:val="0"/>
          <w:sz w:val="28"/>
          <w:szCs w:val="28"/>
        </w:rPr>
        <w:t>。</w:t>
      </w:r>
    </w:p>
    <w:p w:rsidR="00FE0DC0" w:rsidRDefault="004A65A9">
      <w:pPr>
        <w:widowControl/>
        <w:adjustRightInd w:val="0"/>
        <w:snapToGrid w:val="0"/>
        <w:spacing w:line="440" w:lineRule="exact"/>
        <w:ind w:firstLine="48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六、经费与成果管理</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1、研究者在财政制度规定的范围内，按照工作计划合理安排支配研究经费。对使用不合理或不按进度完成计划者，实验室主任有权调整或停发经费。</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2、用实验室基金资助课题的成果，归实验室和研究人员所在单位共有，成果鉴定和报奖由本实验室与研究人员所在单位共同办理。</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lastRenderedPageBreak/>
        <w:t>3、课题研究成果须标注结构工程灾变与控制教育部重点实验室(哈尔滨工业大学)开放基金资助（包括基金号）。</w:t>
      </w:r>
    </w:p>
    <w:p w:rsidR="00FE0DC0" w:rsidRDefault="004A65A9">
      <w:pPr>
        <w:adjustRightInd w:val="0"/>
        <w:snapToGrid w:val="0"/>
        <w:spacing w:line="440" w:lineRule="exact"/>
        <w:ind w:right="-62" w:firstLineChars="200" w:firstLine="560"/>
        <w:rPr>
          <w:rFonts w:asciiTheme="minorEastAsia" w:hAnsiTheme="minorEastAsia" w:cs="宋体"/>
          <w:color w:val="333333"/>
          <w:kern w:val="0"/>
          <w:sz w:val="28"/>
          <w:szCs w:val="28"/>
        </w:rPr>
      </w:pPr>
      <w:r w:rsidRPr="00CA304C">
        <w:rPr>
          <w:rFonts w:asciiTheme="minorEastAsia" w:hAnsiTheme="minorEastAsia" w:cs="宋体" w:hint="eastAsia"/>
          <w:color w:val="333333"/>
          <w:kern w:val="0"/>
          <w:sz w:val="28"/>
          <w:szCs w:val="28"/>
        </w:rPr>
        <w:t>4、申请人在资助期内发表的论文，校外申请者可将“</w:t>
      </w:r>
      <w:r w:rsidR="002D6471" w:rsidRPr="002D6471">
        <w:rPr>
          <w:rFonts w:asciiTheme="minorEastAsia" w:hAnsiTheme="minorEastAsia" w:cs="宋体" w:hint="eastAsia"/>
          <w:color w:val="333333"/>
          <w:kern w:val="0"/>
          <w:sz w:val="28"/>
          <w:szCs w:val="28"/>
        </w:rPr>
        <w:t>结构工程灾变与控制教育部重点实验室（哈尔滨工业大学）</w:t>
      </w:r>
      <w:r w:rsidRPr="00CA304C">
        <w:rPr>
          <w:rFonts w:asciiTheme="minorEastAsia" w:hAnsiTheme="minorEastAsia" w:cs="宋体" w:hint="eastAsia"/>
          <w:color w:val="333333"/>
          <w:kern w:val="0"/>
          <w:sz w:val="28"/>
          <w:szCs w:val="28"/>
        </w:rPr>
        <w:t>”列为第一单位；若第一单位不是本实验室，可将实验室合作者标注为通讯作者。未按要求标注的不予以认可，实验室英文标注名称为</w:t>
      </w:r>
      <w:r w:rsidR="002D6471" w:rsidRPr="002D6471">
        <w:rPr>
          <w:rFonts w:asciiTheme="minorEastAsia" w:hAnsiTheme="minorEastAsia" w:cs="宋体" w:hint="eastAsia"/>
          <w:color w:val="333333"/>
          <w:kern w:val="0"/>
          <w:sz w:val="28"/>
          <w:szCs w:val="28"/>
        </w:rPr>
        <w:t xml:space="preserve">Key Lab of Structures Dynamic Behavior and Control (Harbin Institute of Technology)，Ministry of Education，Harbin, 150090, China </w:t>
      </w:r>
      <w:r w:rsidRPr="00CA304C">
        <w:rPr>
          <w:rFonts w:asciiTheme="minorEastAsia" w:hAnsiTheme="minorEastAsia" w:cs="宋体" w:hint="eastAsia"/>
          <w:color w:val="333333"/>
          <w:kern w:val="0"/>
          <w:sz w:val="28"/>
          <w:szCs w:val="28"/>
        </w:rPr>
        <w:t>。校内申请者应将实验室标注为第一单位。</w:t>
      </w:r>
    </w:p>
    <w:p w:rsidR="00FE0DC0" w:rsidRDefault="004A65A9">
      <w:pPr>
        <w:widowControl/>
        <w:adjustRightInd w:val="0"/>
        <w:snapToGrid w:val="0"/>
        <w:spacing w:line="440" w:lineRule="exact"/>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    5、</w:t>
      </w:r>
      <w:r>
        <w:rPr>
          <w:rFonts w:asciiTheme="minorEastAsia" w:hAnsiTheme="minorEastAsia" w:cs="宋体"/>
          <w:color w:val="333333"/>
          <w:kern w:val="0"/>
          <w:sz w:val="28"/>
          <w:szCs w:val="28"/>
        </w:rPr>
        <w:t>项目负责人需于项目完成期的最后一个月提交项目结题报告和研究成果（论文、专著、专利和奖项等）的复印件和电子版文件。</w:t>
      </w:r>
    </w:p>
    <w:p w:rsidR="00FE0DC0" w:rsidRDefault="004A65A9">
      <w:pPr>
        <w:widowControl/>
        <w:adjustRightInd w:val="0"/>
        <w:snapToGrid w:val="0"/>
        <w:spacing w:line="440" w:lineRule="exact"/>
        <w:jc w:val="left"/>
        <w:rPr>
          <w:rFonts w:asciiTheme="minorEastAsia" w:hAnsiTheme="minorEastAsia" w:cs="宋体"/>
          <w:b/>
          <w:color w:val="333333"/>
          <w:kern w:val="0"/>
          <w:sz w:val="28"/>
          <w:szCs w:val="28"/>
        </w:rPr>
      </w:pPr>
      <w:r>
        <w:rPr>
          <w:rFonts w:asciiTheme="minorEastAsia" w:hAnsiTheme="minorEastAsia" w:cs="宋体" w:hint="eastAsia"/>
          <w:color w:val="333333"/>
          <w:kern w:val="0"/>
          <w:sz w:val="28"/>
          <w:szCs w:val="28"/>
        </w:rPr>
        <w:t xml:space="preserve">   </w:t>
      </w:r>
      <w:r>
        <w:rPr>
          <w:rFonts w:asciiTheme="minorEastAsia" w:hAnsiTheme="minorEastAsia" w:cs="宋体" w:hint="eastAsia"/>
          <w:b/>
          <w:color w:val="333333"/>
          <w:kern w:val="0"/>
          <w:sz w:val="28"/>
          <w:szCs w:val="28"/>
        </w:rPr>
        <w:t xml:space="preserve"> </w:t>
      </w:r>
    </w:p>
    <w:p w:rsidR="00FE0DC0" w:rsidRDefault="004A65A9">
      <w:pPr>
        <w:widowControl/>
        <w:adjustRightInd w:val="0"/>
        <w:snapToGrid w:val="0"/>
        <w:spacing w:line="440" w:lineRule="exact"/>
        <w:ind w:firstLineChars="200" w:firstLine="562"/>
        <w:jc w:val="left"/>
        <w:rPr>
          <w:rFonts w:asciiTheme="minorEastAsia" w:hAnsiTheme="minorEastAsia" w:cs="宋体"/>
          <w:b/>
          <w:color w:val="333333"/>
          <w:kern w:val="0"/>
          <w:sz w:val="28"/>
          <w:szCs w:val="28"/>
        </w:rPr>
      </w:pPr>
      <w:r>
        <w:rPr>
          <w:rFonts w:asciiTheme="minorEastAsia" w:hAnsiTheme="minorEastAsia" w:cs="宋体" w:hint="eastAsia"/>
          <w:b/>
          <w:color w:val="333333"/>
          <w:kern w:val="0"/>
          <w:sz w:val="28"/>
          <w:szCs w:val="28"/>
        </w:rPr>
        <w:t>请有意申请者于2019年</w:t>
      </w:r>
      <w:r w:rsidR="00CA304C">
        <w:rPr>
          <w:rFonts w:asciiTheme="minorEastAsia" w:hAnsiTheme="minorEastAsia" w:cs="宋体" w:hint="eastAsia"/>
          <w:b/>
          <w:color w:val="333333"/>
          <w:kern w:val="0"/>
          <w:sz w:val="28"/>
          <w:szCs w:val="28"/>
        </w:rPr>
        <w:t>8</w:t>
      </w:r>
      <w:r>
        <w:rPr>
          <w:rFonts w:asciiTheme="minorEastAsia" w:hAnsiTheme="minorEastAsia" w:cs="宋体" w:hint="eastAsia"/>
          <w:b/>
          <w:color w:val="333333"/>
          <w:kern w:val="0"/>
          <w:sz w:val="28"/>
          <w:szCs w:val="28"/>
        </w:rPr>
        <w:t>月31日之前将申请书电子版及纸质版发至以下联系人：</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联系人/电话：</w:t>
      </w:r>
      <w:r w:rsidR="00CA304C">
        <w:rPr>
          <w:rFonts w:asciiTheme="minorEastAsia" w:hAnsiTheme="minorEastAsia" w:cs="宋体" w:hint="eastAsia"/>
          <w:color w:val="333333"/>
          <w:kern w:val="0"/>
          <w:sz w:val="28"/>
          <w:szCs w:val="28"/>
        </w:rPr>
        <w:t>杨瑜蓉</w:t>
      </w:r>
      <w:r>
        <w:rPr>
          <w:rFonts w:asciiTheme="minorEastAsia" w:hAnsiTheme="minorEastAsia" w:cs="宋体" w:hint="eastAsia"/>
          <w:color w:val="000000"/>
          <w:kern w:val="0"/>
          <w:sz w:val="27"/>
          <w:szCs w:val="27"/>
        </w:rPr>
        <w:t>/0451-8628</w:t>
      </w:r>
      <w:r w:rsidR="00CA304C">
        <w:rPr>
          <w:rFonts w:asciiTheme="minorEastAsia" w:hAnsiTheme="minorEastAsia" w:cs="宋体"/>
          <w:color w:val="000000"/>
          <w:kern w:val="0"/>
          <w:sz w:val="27"/>
          <w:szCs w:val="27"/>
        </w:rPr>
        <w:t>9577</w:t>
      </w:r>
    </w:p>
    <w:p w:rsidR="004A65A9" w:rsidRDefault="004A65A9" w:rsidP="004A65A9">
      <w:pPr>
        <w:widowControl/>
        <w:adjustRightInd w:val="0"/>
        <w:snapToGrid w:val="0"/>
        <w:spacing w:line="440" w:lineRule="exact"/>
        <w:ind w:firstLine="482"/>
        <w:jc w:val="left"/>
        <w:rPr>
          <w:rFonts w:asciiTheme="minorEastAsia" w:hAnsiTheme="minorEastAsia" w:cs="宋体"/>
          <w:color w:val="333333"/>
          <w:kern w:val="0"/>
          <w:sz w:val="28"/>
          <w:szCs w:val="28"/>
        </w:rPr>
      </w:pPr>
      <w:r w:rsidRPr="004A65A9">
        <w:rPr>
          <w:rFonts w:asciiTheme="minorEastAsia" w:hAnsiTheme="minorEastAsia" w:cs="宋体" w:hint="eastAsia"/>
          <w:color w:val="333333"/>
          <w:kern w:val="0"/>
          <w:sz w:val="28"/>
          <w:szCs w:val="28"/>
        </w:rPr>
        <w:t xml:space="preserve">通讯地址：黑龙江省哈尔滨市南岗区黄河路73号 </w:t>
      </w:r>
    </w:p>
    <w:p w:rsidR="004A65A9" w:rsidRPr="004A65A9" w:rsidRDefault="004A65A9" w:rsidP="004A65A9">
      <w:pPr>
        <w:widowControl/>
        <w:adjustRightInd w:val="0"/>
        <w:snapToGrid w:val="0"/>
        <w:spacing w:line="440" w:lineRule="exact"/>
        <w:ind w:firstLineChars="700" w:firstLine="1960"/>
        <w:jc w:val="left"/>
        <w:rPr>
          <w:rFonts w:asciiTheme="minorEastAsia" w:hAnsiTheme="minorEastAsia" w:cs="宋体"/>
          <w:color w:val="333333"/>
          <w:kern w:val="0"/>
          <w:sz w:val="28"/>
          <w:szCs w:val="28"/>
        </w:rPr>
      </w:pPr>
      <w:r w:rsidRPr="004A65A9">
        <w:rPr>
          <w:rFonts w:asciiTheme="minorEastAsia" w:hAnsiTheme="minorEastAsia" w:cs="宋体" w:hint="eastAsia"/>
          <w:color w:val="333333"/>
          <w:kern w:val="0"/>
          <w:sz w:val="28"/>
          <w:szCs w:val="28"/>
        </w:rPr>
        <w:t>哈尔滨工业大学土木工程学院</w:t>
      </w:r>
    </w:p>
    <w:p w:rsidR="004A65A9" w:rsidRPr="004A65A9" w:rsidRDefault="004A65A9" w:rsidP="004A65A9">
      <w:pPr>
        <w:widowControl/>
        <w:adjustRightInd w:val="0"/>
        <w:snapToGrid w:val="0"/>
        <w:spacing w:line="440" w:lineRule="exact"/>
        <w:ind w:firstLine="482"/>
        <w:jc w:val="left"/>
        <w:rPr>
          <w:rFonts w:asciiTheme="minorEastAsia" w:hAnsiTheme="minorEastAsia" w:cs="宋体"/>
          <w:color w:val="333333"/>
          <w:kern w:val="0"/>
          <w:sz w:val="28"/>
          <w:szCs w:val="28"/>
        </w:rPr>
      </w:pPr>
      <w:r w:rsidRPr="004A65A9">
        <w:rPr>
          <w:rFonts w:asciiTheme="minorEastAsia" w:hAnsiTheme="minorEastAsia" w:cs="宋体" w:hint="eastAsia"/>
          <w:color w:val="333333"/>
          <w:kern w:val="0"/>
          <w:sz w:val="28"/>
          <w:szCs w:val="28"/>
        </w:rPr>
        <w:t>邮编：150090    </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E-mail：</w:t>
      </w:r>
      <w:r w:rsidR="00CA304C" w:rsidRPr="000371E1">
        <w:rPr>
          <w:rStyle w:val="aa"/>
          <w:rFonts w:asciiTheme="minorEastAsia" w:hAnsiTheme="minorEastAsia" w:cs="宋体"/>
          <w:color w:val="000000" w:themeColor="text1"/>
          <w:kern w:val="0"/>
          <w:sz w:val="27"/>
          <w:szCs w:val="27"/>
        </w:rPr>
        <w:t>yyang@hit.edu.cn</w:t>
      </w:r>
    </w:p>
    <w:p w:rsidR="00FE0DC0" w:rsidRDefault="004A65A9">
      <w:pPr>
        <w:widowControl/>
        <w:adjustRightInd w:val="0"/>
        <w:snapToGrid w:val="0"/>
        <w:spacing w:line="440" w:lineRule="exact"/>
        <w:ind w:firstLine="482"/>
        <w:jc w:val="lef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网 址：http://sdbc.hit.edu.cn/main.htm </w:t>
      </w:r>
    </w:p>
    <w:p w:rsidR="00FE0DC0" w:rsidRDefault="00FE0DC0">
      <w:pPr>
        <w:widowControl/>
        <w:adjustRightInd w:val="0"/>
        <w:snapToGrid w:val="0"/>
        <w:spacing w:line="440" w:lineRule="exact"/>
        <w:ind w:firstLine="482"/>
        <w:jc w:val="left"/>
        <w:rPr>
          <w:rFonts w:asciiTheme="minorEastAsia" w:hAnsiTheme="minorEastAsia" w:cs="宋体"/>
          <w:color w:val="333333"/>
          <w:kern w:val="0"/>
          <w:sz w:val="28"/>
          <w:szCs w:val="28"/>
        </w:rPr>
      </w:pPr>
    </w:p>
    <w:p w:rsidR="00FE0DC0" w:rsidRDefault="00FE0DC0">
      <w:pPr>
        <w:widowControl/>
        <w:adjustRightInd w:val="0"/>
        <w:snapToGrid w:val="0"/>
        <w:spacing w:line="440" w:lineRule="exact"/>
        <w:ind w:firstLine="482"/>
        <w:jc w:val="left"/>
        <w:rPr>
          <w:rFonts w:asciiTheme="minorEastAsia" w:hAnsiTheme="minorEastAsia" w:cs="宋体"/>
          <w:color w:val="333333"/>
          <w:kern w:val="0"/>
          <w:sz w:val="28"/>
          <w:szCs w:val="28"/>
        </w:rPr>
      </w:pPr>
    </w:p>
    <w:p w:rsidR="00CA304C" w:rsidRDefault="00CA304C">
      <w:pPr>
        <w:widowControl/>
        <w:adjustRightInd w:val="0"/>
        <w:snapToGrid w:val="0"/>
        <w:spacing w:line="440" w:lineRule="exact"/>
        <w:ind w:firstLine="482"/>
        <w:jc w:val="left"/>
        <w:rPr>
          <w:rFonts w:asciiTheme="minorEastAsia" w:hAnsiTheme="minorEastAsia" w:cs="宋体"/>
          <w:color w:val="333333"/>
          <w:kern w:val="0"/>
          <w:sz w:val="28"/>
          <w:szCs w:val="28"/>
        </w:rPr>
      </w:pPr>
    </w:p>
    <w:p w:rsidR="00CA304C" w:rsidRDefault="00CA304C">
      <w:pPr>
        <w:widowControl/>
        <w:adjustRightInd w:val="0"/>
        <w:snapToGrid w:val="0"/>
        <w:spacing w:line="440" w:lineRule="exact"/>
        <w:ind w:firstLine="482"/>
        <w:jc w:val="left"/>
        <w:rPr>
          <w:rFonts w:asciiTheme="minorEastAsia" w:hAnsiTheme="minorEastAsia" w:cs="宋体"/>
          <w:color w:val="333333"/>
          <w:kern w:val="0"/>
          <w:sz w:val="28"/>
          <w:szCs w:val="28"/>
        </w:rPr>
      </w:pPr>
    </w:p>
    <w:p w:rsidR="00FE0DC0" w:rsidRDefault="00FE0DC0">
      <w:pPr>
        <w:widowControl/>
        <w:spacing w:line="360" w:lineRule="auto"/>
        <w:ind w:firstLine="561"/>
        <w:jc w:val="left"/>
        <w:rPr>
          <w:rFonts w:ascii="FangSong" w:eastAsia="FangSong" w:hAnsi="FangSong" w:cs="宋体"/>
          <w:color w:val="333333"/>
          <w:kern w:val="0"/>
          <w:sz w:val="27"/>
          <w:szCs w:val="27"/>
        </w:rPr>
      </w:pPr>
    </w:p>
    <w:p w:rsidR="00FE0DC0" w:rsidRDefault="004A65A9">
      <w:pPr>
        <w:pStyle w:val="ab"/>
        <w:widowControl/>
        <w:wordWrap w:val="0"/>
        <w:ind w:left="952" w:right="136" w:firstLineChars="0" w:firstLine="0"/>
        <w:jc w:val="right"/>
        <w:outlineLvl w:val="1"/>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 xml:space="preserve">哈尔滨工业大学         </w:t>
      </w:r>
    </w:p>
    <w:p w:rsidR="00FE0DC0" w:rsidRDefault="004A65A9">
      <w:pPr>
        <w:pStyle w:val="ab"/>
        <w:widowControl/>
        <w:ind w:left="952" w:right="136" w:firstLineChars="0" w:firstLine="0"/>
        <w:jc w:val="right"/>
        <w:outlineLvl w:val="1"/>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结构工程灾变与控制教育部重点实验室</w:t>
      </w:r>
    </w:p>
    <w:p w:rsidR="00FE0DC0" w:rsidRDefault="004A65A9">
      <w:pPr>
        <w:widowControl/>
        <w:wordWrap w:val="0"/>
        <w:spacing w:line="290" w:lineRule="auto"/>
        <w:ind w:firstLine="480"/>
        <w:jc w:val="right"/>
        <w:rPr>
          <w:rFonts w:asciiTheme="minorEastAsia" w:hAnsiTheme="minorEastAsia" w:cs="宋体"/>
          <w:color w:val="333333"/>
          <w:kern w:val="0"/>
          <w:sz w:val="28"/>
          <w:szCs w:val="28"/>
        </w:rPr>
      </w:pPr>
      <w:r>
        <w:rPr>
          <w:rFonts w:asciiTheme="minorEastAsia" w:hAnsiTheme="minorEastAsia" w:cs="宋体" w:hint="eastAsia"/>
          <w:color w:val="333333"/>
          <w:kern w:val="0"/>
          <w:sz w:val="28"/>
          <w:szCs w:val="28"/>
        </w:rPr>
        <w:t>2019年</w:t>
      </w:r>
      <w:r w:rsidR="00CA304C">
        <w:rPr>
          <w:rFonts w:asciiTheme="minorEastAsia" w:hAnsiTheme="minorEastAsia" w:cs="宋体"/>
          <w:color w:val="333333"/>
          <w:kern w:val="0"/>
          <w:sz w:val="28"/>
          <w:szCs w:val="28"/>
        </w:rPr>
        <w:t>8</w:t>
      </w:r>
      <w:r>
        <w:rPr>
          <w:rFonts w:asciiTheme="minorEastAsia" w:hAnsiTheme="minorEastAsia" w:cs="宋体" w:hint="eastAsia"/>
          <w:color w:val="333333"/>
          <w:kern w:val="0"/>
          <w:sz w:val="28"/>
          <w:szCs w:val="28"/>
        </w:rPr>
        <w:t>月</w:t>
      </w:r>
      <w:r w:rsidR="00CA304C">
        <w:rPr>
          <w:rFonts w:asciiTheme="minorEastAsia" w:hAnsiTheme="minorEastAsia" w:cs="宋体"/>
          <w:color w:val="333333"/>
          <w:kern w:val="0"/>
          <w:sz w:val="28"/>
          <w:szCs w:val="28"/>
        </w:rPr>
        <w:t>5</w:t>
      </w:r>
      <w:r>
        <w:rPr>
          <w:rFonts w:asciiTheme="minorEastAsia" w:hAnsiTheme="minorEastAsia" w:cs="宋体" w:hint="eastAsia"/>
          <w:color w:val="333333"/>
          <w:kern w:val="0"/>
          <w:sz w:val="28"/>
          <w:szCs w:val="28"/>
        </w:rPr>
        <w:t xml:space="preserve">日         </w:t>
      </w:r>
    </w:p>
    <w:sectPr w:rsidR="00FE0DC0" w:rsidSect="000371E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54" w:rsidRDefault="00CE3954" w:rsidP="002D6471">
      <w:r>
        <w:separator/>
      </w:r>
    </w:p>
  </w:endnote>
  <w:endnote w:type="continuationSeparator" w:id="0">
    <w:p w:rsidR="00CE3954" w:rsidRDefault="00CE3954" w:rsidP="002D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54" w:rsidRDefault="00CE3954" w:rsidP="002D6471">
      <w:r>
        <w:separator/>
      </w:r>
    </w:p>
  </w:footnote>
  <w:footnote w:type="continuationSeparator" w:id="0">
    <w:p w:rsidR="00CE3954" w:rsidRDefault="00CE3954" w:rsidP="002D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5777D1"/>
    <w:multiLevelType w:val="singleLevel"/>
    <w:tmpl w:val="E15777D1"/>
    <w:lvl w:ilvl="0">
      <w:start w:val="1"/>
      <w:numFmt w:val="decimal"/>
      <w:lvlText w:val="%1."/>
      <w:lvlJc w:val="left"/>
      <w:pPr>
        <w:tabs>
          <w:tab w:val="left" w:pos="425"/>
        </w:tabs>
        <w:ind w:left="425" w:hanging="425"/>
      </w:pPr>
      <w:rPr>
        <w:rFonts w:hint="default"/>
      </w:rPr>
    </w:lvl>
  </w:abstractNum>
  <w:abstractNum w:abstractNumId="1" w15:restartNumberingAfterBreak="0">
    <w:nsid w:val="30A0C240"/>
    <w:multiLevelType w:val="singleLevel"/>
    <w:tmpl w:val="30A0C240"/>
    <w:lvl w:ilvl="0">
      <w:start w:val="2"/>
      <w:numFmt w:val="chineseCounting"/>
      <w:suff w:val="nothing"/>
      <w:lvlText w:val="（%1）"/>
      <w:lvlJc w:val="left"/>
      <w:pPr>
        <w:ind w:left="280" w:firstLine="0"/>
      </w:pPr>
      <w:rPr>
        <w:rFonts w:hint="eastAsia"/>
      </w:rPr>
    </w:lvl>
  </w:abstractNum>
  <w:abstractNum w:abstractNumId="2" w15:restartNumberingAfterBreak="0">
    <w:nsid w:val="3BB9B981"/>
    <w:multiLevelType w:val="singleLevel"/>
    <w:tmpl w:val="3BB9B981"/>
    <w:lvl w:ilvl="0">
      <w:start w:val="1"/>
      <w:numFmt w:val="decimal"/>
      <w:lvlText w:val="%1."/>
      <w:lvlJc w:val="left"/>
      <w:pPr>
        <w:tabs>
          <w:tab w:val="left" w:pos="425"/>
        </w:tabs>
        <w:ind w:left="425" w:hanging="425"/>
      </w:pPr>
      <w:rPr>
        <w:rFonts w:hint="default"/>
      </w:rPr>
    </w:lvl>
  </w:abstractNum>
  <w:abstractNum w:abstractNumId="3" w15:restartNumberingAfterBreak="0">
    <w:nsid w:val="54397EEE"/>
    <w:multiLevelType w:val="singleLevel"/>
    <w:tmpl w:val="54397EEE"/>
    <w:lvl w:ilvl="0">
      <w:start w:val="1"/>
      <w:numFmt w:val="decimal"/>
      <w:lvlText w:val="%1."/>
      <w:lvlJc w:val="left"/>
      <w:pPr>
        <w:tabs>
          <w:tab w:val="left" w:pos="425"/>
        </w:tabs>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0A"/>
    <w:rsid w:val="00003D23"/>
    <w:rsid w:val="000371E1"/>
    <w:rsid w:val="000E330D"/>
    <w:rsid w:val="00193146"/>
    <w:rsid w:val="00193A4C"/>
    <w:rsid w:val="001F41D6"/>
    <w:rsid w:val="00201348"/>
    <w:rsid w:val="002051B2"/>
    <w:rsid w:val="002309B9"/>
    <w:rsid w:val="002A5137"/>
    <w:rsid w:val="002D6471"/>
    <w:rsid w:val="002F1F3B"/>
    <w:rsid w:val="002F4FE5"/>
    <w:rsid w:val="0031066A"/>
    <w:rsid w:val="00357C46"/>
    <w:rsid w:val="00434B15"/>
    <w:rsid w:val="00473F6B"/>
    <w:rsid w:val="0049083B"/>
    <w:rsid w:val="004A65A9"/>
    <w:rsid w:val="004B3D98"/>
    <w:rsid w:val="00553DB9"/>
    <w:rsid w:val="005566E9"/>
    <w:rsid w:val="005C2A54"/>
    <w:rsid w:val="00696AC8"/>
    <w:rsid w:val="006A46BA"/>
    <w:rsid w:val="006B2F69"/>
    <w:rsid w:val="006B7547"/>
    <w:rsid w:val="006F630F"/>
    <w:rsid w:val="00711080"/>
    <w:rsid w:val="00720405"/>
    <w:rsid w:val="0075100A"/>
    <w:rsid w:val="00782F70"/>
    <w:rsid w:val="00785AC4"/>
    <w:rsid w:val="007E7070"/>
    <w:rsid w:val="00811B57"/>
    <w:rsid w:val="008555CD"/>
    <w:rsid w:val="008628F8"/>
    <w:rsid w:val="008B3617"/>
    <w:rsid w:val="00977758"/>
    <w:rsid w:val="009A3DC3"/>
    <w:rsid w:val="009E3040"/>
    <w:rsid w:val="00A12FD0"/>
    <w:rsid w:val="00A15BBC"/>
    <w:rsid w:val="00A2684F"/>
    <w:rsid w:val="00A50D3E"/>
    <w:rsid w:val="00A62008"/>
    <w:rsid w:val="00A76CA8"/>
    <w:rsid w:val="00AB252F"/>
    <w:rsid w:val="00AB7642"/>
    <w:rsid w:val="00AD7115"/>
    <w:rsid w:val="00B16D6F"/>
    <w:rsid w:val="00B423D8"/>
    <w:rsid w:val="00B51670"/>
    <w:rsid w:val="00B60D3D"/>
    <w:rsid w:val="00B97B8A"/>
    <w:rsid w:val="00C06E4D"/>
    <w:rsid w:val="00C30A79"/>
    <w:rsid w:val="00C52276"/>
    <w:rsid w:val="00C54323"/>
    <w:rsid w:val="00CA304C"/>
    <w:rsid w:val="00CA7BC7"/>
    <w:rsid w:val="00CB0FAE"/>
    <w:rsid w:val="00CE3954"/>
    <w:rsid w:val="00D15DF4"/>
    <w:rsid w:val="00D35B20"/>
    <w:rsid w:val="00DC1E51"/>
    <w:rsid w:val="00DF3923"/>
    <w:rsid w:val="00DF4BAA"/>
    <w:rsid w:val="00E07F7A"/>
    <w:rsid w:val="00E12BB0"/>
    <w:rsid w:val="00E3276E"/>
    <w:rsid w:val="00E70BE2"/>
    <w:rsid w:val="00E75CED"/>
    <w:rsid w:val="00EB5963"/>
    <w:rsid w:val="00ED7FD1"/>
    <w:rsid w:val="00F632BC"/>
    <w:rsid w:val="00F65ADA"/>
    <w:rsid w:val="00FE0DC0"/>
    <w:rsid w:val="00FF7129"/>
    <w:rsid w:val="09C26D19"/>
    <w:rsid w:val="371F3B34"/>
    <w:rsid w:val="6322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D2D16-E5D0-4816-9788-8320693B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rPr>
  </w:style>
  <w:style w:type="character" w:styleId="aa">
    <w:name w:val="Hyperlink"/>
    <w:basedOn w:val="a0"/>
    <w:uiPriority w:val="99"/>
    <w:unhideWhenUsed/>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宋体" w:eastAsia="宋体" w:hAnsi="宋体" w:cs="宋体"/>
      <w:kern w:val="0"/>
      <w:sz w:val="36"/>
      <w:szCs w:val="36"/>
    </w:rPr>
  </w:style>
  <w:style w:type="character" w:customStyle="1" w:styleId="wpvisitcount1">
    <w:name w:val="wp_visitcount1"/>
    <w:basedOn w:val="a0"/>
    <w:qFormat/>
    <w:rPr>
      <w:vanish/>
    </w:rPr>
  </w:style>
  <w:style w:type="paragraph" w:customStyle="1" w:styleId="cjk">
    <w:name w:val="cjk"/>
    <w:basedOn w:val="a"/>
    <w:qFormat/>
    <w:pPr>
      <w:widowControl/>
      <w:jc w:val="left"/>
    </w:pPr>
    <w:rPr>
      <w:rFonts w:ascii="宋体" w:eastAsia="宋体" w:hAnsi="宋体" w:cs="宋体"/>
      <w:kern w:val="0"/>
      <w:sz w:val="24"/>
      <w:szCs w:val="24"/>
    </w:rPr>
  </w:style>
  <w:style w:type="paragraph" w:styleId="ab">
    <w:name w:val="List Paragraph"/>
    <w:basedOn w:val="a"/>
    <w:uiPriority w:val="34"/>
    <w:qFormat/>
    <w:pPr>
      <w:ind w:firstLineChars="200" w:firstLine="420"/>
    </w:pPr>
  </w:style>
  <w:style w:type="character" w:customStyle="1" w:styleId="UnresolvedMention">
    <w:name w:val="Unresolved Mention"/>
    <w:basedOn w:val="a0"/>
    <w:uiPriority w:val="99"/>
    <w:semiHidden/>
    <w:unhideWhenUsed/>
    <w:rsid w:val="0003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开放基金申请指南</dc:title>
  <dc:creator>PC</dc:creator>
  <cp:lastModifiedBy>ZHOU Wensong</cp:lastModifiedBy>
  <cp:revision>5</cp:revision>
  <dcterms:created xsi:type="dcterms:W3CDTF">2019-08-05T12:34:00Z</dcterms:created>
  <dcterms:modified xsi:type="dcterms:W3CDTF">2019-08-05T16:32:00Z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